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heme="minorEastAsia" w:hAnsiTheme="minorEastAsia" w:cstheme="minorEastAsia"/>
          <w:b/>
          <w:bCs w:val="0"/>
          <w:sz w:val="32"/>
          <w:szCs w:val="32"/>
          <w:lang w:eastAsia="zh-CN"/>
        </w:rPr>
      </w:pPr>
      <w:r>
        <w:rPr>
          <w:rFonts w:hint="eastAsia" w:asciiTheme="minorEastAsia" w:hAnsiTheme="minorEastAsia" w:cstheme="minorEastAsia"/>
          <w:b/>
          <w:bCs w:val="0"/>
          <w:sz w:val="32"/>
          <w:szCs w:val="32"/>
          <w:lang w:eastAsia="zh-CN"/>
        </w:rPr>
        <w:t>泊头市东辛店红日砖瓦厂</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heme="minorEastAsia" w:hAnsiTheme="minorEastAsia" w:eastAsiaTheme="minorEastAsia" w:cstheme="minorEastAsia"/>
          <w:b/>
          <w:bCs w:val="0"/>
          <w:sz w:val="30"/>
          <w:szCs w:val="30"/>
        </w:rPr>
      </w:pPr>
      <w:r>
        <w:rPr>
          <w:rFonts w:hint="eastAsia" w:asciiTheme="minorEastAsia" w:hAnsiTheme="minorEastAsia" w:cstheme="minorEastAsia"/>
          <w:b/>
          <w:bCs w:val="0"/>
          <w:sz w:val="30"/>
          <w:szCs w:val="30"/>
          <w:lang w:eastAsia="zh-CN"/>
        </w:rPr>
        <w:t>年产5000万块承重混凝土多孔砖项目</w:t>
      </w:r>
      <w:r>
        <w:rPr>
          <w:rFonts w:hint="eastAsia" w:asciiTheme="minorEastAsia" w:hAnsiTheme="minorEastAsia" w:eastAsiaTheme="minorEastAsia" w:cstheme="minorEastAsia"/>
          <w:b/>
          <w:bCs w:val="0"/>
          <w:sz w:val="30"/>
          <w:szCs w:val="30"/>
        </w:rPr>
        <w:t>竣工环境保护验收意见</w:t>
      </w:r>
    </w:p>
    <w:p>
      <w:pPr>
        <w:pStyle w:val="2"/>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val="0"/>
        <w:spacing w:line="420" w:lineRule="exact"/>
        <w:ind w:right="0" w:rightChars="0" w:firstLine="480" w:firstLineChars="200"/>
        <w:jc w:val="both"/>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color w:val="auto"/>
          <w:sz w:val="24"/>
          <w:szCs w:val="24"/>
          <w:lang w:val="en-US" w:eastAsia="zh-CN"/>
        </w:rPr>
        <w:t>2021年1月26日</w:t>
      </w:r>
      <w:r>
        <w:rPr>
          <w:rFonts w:hint="eastAsia" w:ascii="宋体" w:hAnsi="宋体" w:eastAsia="宋体" w:cs="宋体"/>
          <w:sz w:val="24"/>
          <w:szCs w:val="24"/>
        </w:rPr>
        <w:t>，</w:t>
      </w:r>
      <w:r>
        <w:rPr>
          <w:rFonts w:hint="eastAsia" w:ascii="宋体" w:hAnsi="宋体" w:eastAsia="宋体" w:cs="宋体"/>
          <w:color w:val="000000" w:themeColor="text1"/>
          <w:sz w:val="24"/>
          <w:szCs w:val="24"/>
          <w:lang w:eastAsia="zh-CN"/>
          <w14:textFill>
            <w14:solidFill>
              <w14:schemeClr w14:val="tx1"/>
            </w14:solidFill>
          </w14:textFill>
        </w:rPr>
        <w:t>泊头市东辛店红日砖瓦厂根据</w:t>
      </w:r>
      <w:r>
        <w:rPr>
          <w:rStyle w:val="11"/>
          <w:rFonts w:hint="eastAsia" w:ascii="宋体" w:hAnsi="宋体" w:eastAsia="宋体" w:cs="宋体"/>
          <w:b w:val="0"/>
          <w:color w:val="000000" w:themeColor="text1"/>
          <w:sz w:val="24"/>
          <w:szCs w:val="24"/>
          <w:shd w:val="clear" w:color="auto" w:fill="FFFFFF"/>
          <w14:textFill>
            <w14:solidFill>
              <w14:schemeClr w14:val="tx1"/>
            </w14:solidFill>
          </w14:textFill>
        </w:rPr>
        <w:t>《</w:t>
      </w:r>
      <w:r>
        <w:rPr>
          <w:rFonts w:hint="eastAsia" w:ascii="宋体" w:hAnsi="宋体" w:eastAsia="宋体" w:cs="宋体"/>
          <w:sz w:val="24"/>
          <w:szCs w:val="24"/>
          <w:lang w:eastAsia="zh-CN"/>
        </w:rPr>
        <w:t>泊头市东辛店红日砖瓦厂年产5000万块承重混凝土多孔砖项目</w:t>
      </w:r>
      <w:r>
        <w:rPr>
          <w:rStyle w:val="11"/>
          <w:rFonts w:hint="eastAsia" w:ascii="宋体" w:hAnsi="宋体" w:eastAsia="宋体" w:cs="宋体"/>
          <w:b w:val="0"/>
          <w:color w:val="000000" w:themeColor="text1"/>
          <w:sz w:val="24"/>
          <w:szCs w:val="24"/>
          <w:shd w:val="clear" w:color="auto" w:fill="FFFFFF"/>
          <w14:textFill>
            <w14:solidFill>
              <w14:schemeClr w14:val="tx1"/>
            </w14:solidFill>
          </w14:textFill>
        </w:rPr>
        <w:t>竣工环境保护验收监测报告》</w:t>
      </w:r>
      <w:r>
        <w:rPr>
          <w:rFonts w:hint="eastAsia" w:ascii="宋体" w:hAnsi="宋体" w:eastAsia="宋体" w:cs="宋体"/>
          <w:sz w:val="24"/>
          <w:szCs w:val="24"/>
          <w:lang w:eastAsia="zh-CN"/>
        </w:rPr>
        <w:t>并对照</w:t>
      </w:r>
      <w:r>
        <w:rPr>
          <w:rFonts w:hint="eastAsia" w:ascii="宋体" w:hAnsi="宋体" w:eastAsia="宋体" w:cs="宋体"/>
          <w:color w:val="000000" w:themeColor="text1"/>
          <w:sz w:val="24"/>
          <w:szCs w:val="24"/>
          <w14:textFill>
            <w14:solidFill>
              <w14:schemeClr w14:val="tx1"/>
            </w14:solidFill>
          </w14:textFill>
        </w:rPr>
        <w:t>《建设项目竣工环境保护验收暂行办法》</w:t>
      </w:r>
      <w:r>
        <w:rPr>
          <w:rFonts w:hint="eastAsia" w:ascii="宋体" w:hAnsi="宋体" w:eastAsia="宋体" w:cs="宋体"/>
          <w:color w:val="000000" w:themeColor="text1"/>
          <w:sz w:val="24"/>
          <w:szCs w:val="24"/>
          <w:lang w:eastAsia="zh-CN"/>
          <w14:textFill>
            <w14:solidFill>
              <w14:schemeClr w14:val="tx1"/>
            </w14:solidFill>
          </w14:textFill>
        </w:rPr>
        <w:t>，严格依照国家有关法律法规、建设项目竣工环境保护验收技术规范、本项目环境影响报告表和审批部门的审批意见等要求，组织相关人员对本项目进行了验收</w:t>
      </w:r>
      <w:r>
        <w:rPr>
          <w:rFonts w:hint="eastAsia" w:ascii="宋体" w:hAnsi="宋体" w:eastAsia="宋体" w:cs="宋体"/>
          <w:sz w:val="24"/>
          <w:szCs w:val="24"/>
        </w:rPr>
        <w:t>，</w:t>
      </w:r>
      <w:r>
        <w:rPr>
          <w:rFonts w:hint="eastAsia" w:ascii="宋体" w:hAnsi="宋体" w:eastAsia="宋体" w:cs="宋体"/>
          <w:sz w:val="24"/>
          <w:szCs w:val="24"/>
          <w:lang w:eastAsia="zh-CN"/>
        </w:rPr>
        <w:t>与会人员实地核查了项目现场，查阅了相关验收资料，</w:t>
      </w:r>
      <w:r>
        <w:rPr>
          <w:rFonts w:hint="eastAsia" w:ascii="宋体" w:hAnsi="宋体" w:eastAsia="宋体" w:cs="宋体"/>
          <w:bCs/>
          <w:color w:val="000000" w:themeColor="text1"/>
          <w:sz w:val="24"/>
          <w:szCs w:val="24"/>
          <w:lang w:eastAsia="zh-CN"/>
          <w14:textFill>
            <w14:solidFill>
              <w14:schemeClr w14:val="tx1"/>
            </w14:solidFill>
          </w14:textFill>
        </w:rPr>
        <w:t>提出</w:t>
      </w:r>
      <w:r>
        <w:rPr>
          <w:rFonts w:hint="eastAsia" w:ascii="宋体" w:hAnsi="宋体" w:eastAsia="宋体" w:cs="宋体"/>
          <w:bCs/>
          <w:color w:val="000000" w:themeColor="text1"/>
          <w:sz w:val="24"/>
          <w:szCs w:val="24"/>
          <w14:textFill>
            <w14:solidFill>
              <w14:schemeClr w14:val="tx1"/>
            </w14:solidFill>
          </w14:textFill>
        </w:rPr>
        <w:t>验收意见如下：</w:t>
      </w:r>
    </w:p>
    <w:p>
      <w:pPr>
        <w:pStyle w:val="7"/>
        <w:keepNext w:val="0"/>
        <w:keepLines w:val="0"/>
        <w:pageBreakBefore w:val="0"/>
        <w:widowControl w:val="0"/>
        <w:numPr>
          <w:ilvl w:val="0"/>
          <w:numId w:val="0"/>
        </w:numPr>
        <w:shd w:val="clear" w:color="auto"/>
        <w:kinsoku/>
        <w:wordWrap/>
        <w:overflowPunct/>
        <w:topLinePunct w:val="0"/>
        <w:autoSpaceDE/>
        <w:autoSpaceDN/>
        <w:bidi w:val="0"/>
        <w:adjustRightInd w:val="0"/>
        <w:snapToGrid w:val="0"/>
        <w:spacing w:beforeAutospacing="0" w:afterAutospacing="0" w:line="420" w:lineRule="exact"/>
        <w:ind w:leftChars="200" w:right="0" w:rightChars="0"/>
        <w:jc w:val="both"/>
        <w:textAlignment w:val="auto"/>
        <w:rPr>
          <w:rFonts w:hint="eastAsia" w:asciiTheme="minorEastAsia" w:hAnsiTheme="minorEastAsia" w:eastAsiaTheme="minorEastAsia" w:cstheme="minorEastAsia"/>
          <w:bCs/>
          <w:color w:val="000000" w:themeColor="text1"/>
          <w:sz w:val="24"/>
          <w:szCs w:val="24"/>
          <w14:textFill>
            <w14:solidFill>
              <w14:schemeClr w14:val="tx1"/>
            </w14:solidFill>
          </w14:textFill>
        </w:rPr>
      </w:pPr>
      <w:r>
        <w:rPr>
          <w:rFonts w:hint="eastAsia" w:asciiTheme="minorEastAsia" w:hAnsiTheme="minorEastAsia" w:cstheme="minorEastAsia"/>
          <w:b/>
          <w:color w:val="000000" w:themeColor="text1"/>
          <w:sz w:val="24"/>
          <w:szCs w:val="24"/>
          <w:lang w:eastAsia="zh-CN"/>
          <w14:textFill>
            <w14:solidFill>
              <w14:schemeClr w14:val="tx1"/>
            </w14:solidFill>
          </w14:textFill>
        </w:rPr>
        <w:t>一、</w:t>
      </w:r>
      <w:r>
        <w:rPr>
          <w:rFonts w:hint="eastAsia" w:asciiTheme="minorEastAsia" w:hAnsiTheme="minorEastAsia" w:eastAsiaTheme="minorEastAsia" w:cstheme="minorEastAsia"/>
          <w:b/>
          <w:color w:val="000000" w:themeColor="text1"/>
          <w:sz w:val="24"/>
          <w:szCs w:val="24"/>
          <w14:textFill>
            <w14:solidFill>
              <w14:schemeClr w14:val="tx1"/>
            </w14:solidFill>
          </w14:textFill>
        </w:rPr>
        <w:t>工程建设基本情况</w:t>
      </w:r>
    </w:p>
    <w:p>
      <w:pPr>
        <w:keepNext w:val="0"/>
        <w:keepLines w:val="0"/>
        <w:pageBreakBefore w:val="0"/>
        <w:widowControl w:val="0"/>
        <w:kinsoku/>
        <w:wordWrap/>
        <w:overflowPunct/>
        <w:topLinePunct w:val="0"/>
        <w:autoSpaceDE/>
        <w:autoSpaceDN/>
        <w:bidi w:val="0"/>
        <w:adjustRightInd w:val="0"/>
        <w:snapToGrid w:val="0"/>
        <w:spacing w:line="420" w:lineRule="exact"/>
        <w:ind w:left="0" w:leftChars="0" w:right="0" w:rightChars="0" w:firstLine="480" w:firstLineChars="200"/>
        <w:jc w:val="both"/>
        <w:textAlignment w:val="auto"/>
        <w:outlineLvl w:val="9"/>
        <w:rPr>
          <w:rFonts w:hint="eastAsia" w:ascii="宋体" w:hAnsi="宋体" w:eastAsia="宋体"/>
          <w:sz w:val="24"/>
          <w:szCs w:val="24"/>
          <w:lang w:eastAsia="zh-CN"/>
        </w:rPr>
      </w:pPr>
      <w:bookmarkStart w:id="0" w:name="_Hlk496980272"/>
      <w:r>
        <w:rPr>
          <w:rFonts w:hint="eastAsia" w:ascii="宋体" w:hAnsi="宋体" w:eastAsia="宋体"/>
          <w:sz w:val="24"/>
          <w:szCs w:val="24"/>
          <w:lang w:eastAsia="zh-CN"/>
        </w:rPr>
        <w:t>（一）建设地点、规模、主要建设内容</w:t>
      </w:r>
    </w:p>
    <w:p>
      <w:pPr>
        <w:keepNext w:val="0"/>
        <w:keepLines w:val="0"/>
        <w:pageBreakBefore w:val="0"/>
        <w:widowControl w:val="0"/>
        <w:kinsoku/>
        <w:wordWrap/>
        <w:overflowPunct/>
        <w:topLinePunct w:val="0"/>
        <w:autoSpaceDE/>
        <w:autoSpaceDN/>
        <w:bidi w:val="0"/>
        <w:adjustRightInd w:val="0"/>
        <w:snapToGrid w:val="0"/>
        <w:spacing w:line="420" w:lineRule="exact"/>
        <w:ind w:left="0" w:leftChars="0" w:right="0" w:rightChars="0" w:firstLine="480" w:firstLineChars="200"/>
        <w:jc w:val="both"/>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项目位于河北省沧州市泊头市寺门村镇东辛店村，厂区中心地理位置坐标为：东经116°20'57"，北纬 38°2'17"。项目东侧为空地，南侧为空地，西侧为道路，北侧为泊富公路。</w:t>
      </w:r>
    </w:p>
    <w:p>
      <w:pPr>
        <w:keepNext w:val="0"/>
        <w:keepLines w:val="0"/>
        <w:pageBreakBefore w:val="0"/>
        <w:widowControl w:val="0"/>
        <w:kinsoku/>
        <w:wordWrap/>
        <w:overflowPunct/>
        <w:topLinePunct w:val="0"/>
        <w:autoSpaceDE/>
        <w:autoSpaceDN/>
        <w:bidi w:val="0"/>
        <w:adjustRightInd w:val="0"/>
        <w:snapToGrid w:val="0"/>
        <w:spacing w:line="420" w:lineRule="exact"/>
        <w:ind w:left="0" w:leftChars="0" w:right="0" w:rightChars="0" w:firstLine="480" w:firstLineChars="200"/>
        <w:jc w:val="both"/>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项目总占地4000m</w:t>
      </w:r>
      <w:r>
        <w:rPr>
          <w:rFonts w:hint="eastAsia" w:ascii="宋体" w:hAnsi="宋体" w:eastAsia="宋体" w:cs="宋体"/>
          <w:color w:val="auto"/>
          <w:sz w:val="24"/>
          <w:szCs w:val="24"/>
          <w:vertAlign w:val="superscript"/>
          <w:lang w:val="en-US" w:eastAsia="zh-CN"/>
        </w:rPr>
        <w:t>2</w:t>
      </w:r>
      <w:r>
        <w:rPr>
          <w:rFonts w:hint="eastAsia" w:ascii="宋体" w:hAnsi="宋体" w:eastAsia="宋体" w:cs="宋体"/>
          <w:color w:val="auto"/>
          <w:sz w:val="24"/>
          <w:szCs w:val="24"/>
          <w:lang w:val="en-US" w:eastAsia="zh-CN"/>
        </w:rPr>
        <w:t>，总建筑面积1800m</w:t>
      </w:r>
      <w:r>
        <w:rPr>
          <w:rFonts w:hint="eastAsia" w:ascii="宋体" w:hAnsi="宋体" w:eastAsia="宋体" w:cs="宋体"/>
          <w:color w:val="auto"/>
          <w:sz w:val="24"/>
          <w:szCs w:val="24"/>
          <w:vertAlign w:val="superscript"/>
          <w:lang w:val="en-US" w:eastAsia="zh-CN"/>
        </w:rPr>
        <w:t>2</w:t>
      </w:r>
      <w:r>
        <w:rPr>
          <w:rFonts w:hint="eastAsia" w:ascii="宋体" w:hAnsi="宋体" w:eastAsia="宋体" w:cs="宋体"/>
          <w:color w:val="auto"/>
          <w:sz w:val="24"/>
          <w:szCs w:val="24"/>
          <w:lang w:val="en-US" w:eastAsia="zh-CN"/>
        </w:rPr>
        <w:t>，主要建筑为机加工车间、办公室及原料库。购置搅拌机1台、轮碾机1台、压砖机1台、配料机1台、选筛机1台、装货机1台、装载机1台、模具2台、混合料输送机1台、成品输送机4台、水泥罐1台、粉煤灰储罐2台；项目完成后年产5000万块承重混凝土多孔砖。</w:t>
      </w:r>
    </w:p>
    <w:p>
      <w:pPr>
        <w:keepNext w:val="0"/>
        <w:keepLines w:val="0"/>
        <w:pageBreakBefore w:val="0"/>
        <w:widowControl w:val="0"/>
        <w:kinsoku/>
        <w:wordWrap/>
        <w:overflowPunct/>
        <w:topLinePunct w:val="0"/>
        <w:autoSpaceDE/>
        <w:autoSpaceDN/>
        <w:bidi w:val="0"/>
        <w:adjustRightInd w:val="0"/>
        <w:snapToGrid w:val="0"/>
        <w:spacing w:line="420" w:lineRule="exact"/>
        <w:ind w:left="0" w:leftChars="0" w:right="0" w:rightChars="0" w:firstLine="480" w:firstLineChars="200"/>
        <w:jc w:val="both"/>
        <w:textAlignment w:val="auto"/>
        <w:outlineLvl w:val="9"/>
        <w:rPr>
          <w:rFonts w:hint="eastAsia" w:ascii="宋体" w:hAnsi="宋体" w:eastAsia="宋体"/>
          <w:sz w:val="24"/>
          <w:szCs w:val="24"/>
          <w:lang w:eastAsia="zh-CN"/>
        </w:rPr>
      </w:pPr>
      <w:r>
        <w:rPr>
          <w:rFonts w:hint="eastAsia" w:ascii="宋体" w:hAnsi="宋体" w:eastAsia="宋体"/>
          <w:sz w:val="24"/>
          <w:szCs w:val="24"/>
          <w:lang w:eastAsia="zh-CN"/>
        </w:rPr>
        <w:t>（二）建设过程和环评审批情况</w:t>
      </w:r>
    </w:p>
    <w:bookmarkEnd w:id="0"/>
    <w:p>
      <w:pPr>
        <w:keepNext w:val="0"/>
        <w:keepLines w:val="0"/>
        <w:pageBreakBefore w:val="0"/>
        <w:widowControl w:val="0"/>
        <w:kinsoku/>
        <w:wordWrap/>
        <w:overflowPunct/>
        <w:topLinePunct w:val="0"/>
        <w:autoSpaceDE/>
        <w:autoSpaceDN/>
        <w:bidi w:val="0"/>
        <w:adjustRightInd w:val="0"/>
        <w:snapToGrid w:val="0"/>
        <w:spacing w:line="420" w:lineRule="exact"/>
        <w:ind w:left="0" w:leftChars="0" w:right="0" w:rightChars="0" w:firstLine="480" w:firstLineChars="200"/>
        <w:jc w:val="both"/>
        <w:textAlignment w:val="auto"/>
        <w:outlineLvl w:val="9"/>
        <w:rPr>
          <w:rFonts w:hint="eastAsia" w:ascii="宋体" w:hAnsi="宋体" w:eastAsia="宋体"/>
          <w:sz w:val="24"/>
          <w:szCs w:val="24"/>
          <w:lang w:val="zh-CN" w:eastAsia="zh-CN"/>
        </w:rPr>
      </w:pPr>
      <w:r>
        <w:rPr>
          <w:rFonts w:hint="eastAsia" w:ascii="宋体" w:hAnsi="宋体" w:eastAsia="宋体"/>
          <w:sz w:val="24"/>
          <w:szCs w:val="24"/>
          <w:lang w:val="zh-CN" w:eastAsia="zh-CN"/>
        </w:rPr>
        <w:t xml:space="preserve">泊头市东辛店红日砖瓦厂年产5000万块承重混凝土多孔砖项目已于2020年08月20日在泊头市发展和改革局备案，备案编号泊发改审批备字[2020]222号。2020年10月，河北可天环保科技有限公司编制完成了《泊头市东辛店红日砖瓦厂年产5000万块承重混凝土多孔砖项目环境影响报告表》，2020年12月29日，沧州市环境保护局泊头市分局对该项目环境影响报告表予以审批，审批文号为泊环表[2020]W374号。  </w:t>
      </w:r>
    </w:p>
    <w:p>
      <w:pPr>
        <w:keepNext w:val="0"/>
        <w:keepLines w:val="0"/>
        <w:pageBreakBefore w:val="0"/>
        <w:widowControl w:val="0"/>
        <w:kinsoku/>
        <w:wordWrap/>
        <w:overflowPunct/>
        <w:topLinePunct w:val="0"/>
        <w:autoSpaceDE/>
        <w:autoSpaceDN/>
        <w:bidi w:val="0"/>
        <w:adjustRightInd w:val="0"/>
        <w:snapToGrid w:val="0"/>
        <w:spacing w:line="420" w:lineRule="exact"/>
        <w:ind w:left="0" w:leftChars="0" w:right="0" w:rightChars="0" w:firstLine="480" w:firstLineChars="200"/>
        <w:jc w:val="both"/>
        <w:textAlignment w:val="auto"/>
        <w:outlineLvl w:val="9"/>
        <w:rPr>
          <w:rFonts w:hint="eastAsia" w:ascii="宋体" w:hAnsi="宋体" w:eastAsia="宋体"/>
          <w:sz w:val="24"/>
          <w:szCs w:val="24"/>
          <w:lang w:val="zh-CN" w:eastAsia="zh-CN"/>
        </w:rPr>
      </w:pPr>
      <w:r>
        <w:rPr>
          <w:rFonts w:hint="eastAsia" w:ascii="宋体" w:hAnsi="宋体" w:eastAsia="宋体"/>
          <w:sz w:val="24"/>
          <w:szCs w:val="24"/>
          <w:lang w:val="zh-CN" w:eastAsia="zh-CN"/>
        </w:rPr>
        <w:t>项目设备开始建设时间为202</w:t>
      </w:r>
      <w:r>
        <w:rPr>
          <w:rFonts w:hint="eastAsia" w:ascii="宋体" w:hAnsi="宋体" w:eastAsia="宋体"/>
          <w:sz w:val="24"/>
          <w:szCs w:val="24"/>
          <w:lang w:val="en-US" w:eastAsia="zh-CN"/>
        </w:rPr>
        <w:t>1</w:t>
      </w:r>
      <w:r>
        <w:rPr>
          <w:rFonts w:hint="eastAsia" w:ascii="宋体" w:hAnsi="宋体" w:eastAsia="宋体"/>
          <w:sz w:val="24"/>
          <w:szCs w:val="24"/>
          <w:lang w:val="zh-CN" w:eastAsia="zh-CN"/>
        </w:rPr>
        <w:t>年</w:t>
      </w:r>
      <w:r>
        <w:rPr>
          <w:rFonts w:hint="eastAsia" w:ascii="宋体" w:hAnsi="宋体" w:eastAsia="宋体"/>
          <w:sz w:val="24"/>
          <w:szCs w:val="24"/>
          <w:lang w:val="en-US" w:eastAsia="zh-CN"/>
        </w:rPr>
        <w:t>1</w:t>
      </w:r>
      <w:r>
        <w:rPr>
          <w:rFonts w:hint="eastAsia" w:ascii="宋体" w:hAnsi="宋体" w:eastAsia="宋体"/>
          <w:sz w:val="24"/>
          <w:szCs w:val="24"/>
          <w:lang w:val="zh-CN" w:eastAsia="zh-CN"/>
        </w:rPr>
        <w:t>月，开始调试时间为202</w:t>
      </w:r>
      <w:r>
        <w:rPr>
          <w:rFonts w:hint="eastAsia" w:ascii="宋体" w:hAnsi="宋体" w:eastAsia="宋体"/>
          <w:sz w:val="24"/>
          <w:szCs w:val="24"/>
          <w:lang w:val="en-US" w:eastAsia="zh-CN"/>
        </w:rPr>
        <w:t>1</w:t>
      </w:r>
      <w:r>
        <w:rPr>
          <w:rFonts w:hint="eastAsia" w:ascii="宋体" w:hAnsi="宋体" w:eastAsia="宋体"/>
          <w:sz w:val="24"/>
          <w:szCs w:val="24"/>
          <w:lang w:val="zh-CN" w:eastAsia="zh-CN"/>
        </w:rPr>
        <w:t>年</w:t>
      </w:r>
      <w:r>
        <w:rPr>
          <w:rFonts w:hint="eastAsia" w:ascii="宋体" w:hAnsi="宋体" w:eastAsia="宋体"/>
          <w:sz w:val="24"/>
          <w:szCs w:val="24"/>
          <w:lang w:val="en-US" w:eastAsia="zh-CN"/>
        </w:rPr>
        <w:t>1</w:t>
      </w:r>
      <w:r>
        <w:rPr>
          <w:rFonts w:hint="eastAsia" w:ascii="宋体" w:hAnsi="宋体" w:eastAsia="宋体"/>
          <w:sz w:val="24"/>
          <w:szCs w:val="24"/>
          <w:lang w:val="zh-CN" w:eastAsia="zh-CN"/>
        </w:rPr>
        <w:t>月。</w:t>
      </w:r>
    </w:p>
    <w:p>
      <w:pPr>
        <w:keepNext w:val="0"/>
        <w:keepLines w:val="0"/>
        <w:pageBreakBefore w:val="0"/>
        <w:widowControl w:val="0"/>
        <w:kinsoku/>
        <w:wordWrap/>
        <w:overflowPunct/>
        <w:topLinePunct w:val="0"/>
        <w:autoSpaceDE/>
        <w:autoSpaceDN/>
        <w:bidi w:val="0"/>
        <w:adjustRightInd w:val="0"/>
        <w:snapToGrid w:val="0"/>
        <w:spacing w:line="420" w:lineRule="exact"/>
        <w:ind w:left="0" w:leftChars="0" w:right="0" w:rightChars="0" w:firstLine="480" w:firstLineChars="200"/>
        <w:jc w:val="both"/>
        <w:textAlignment w:val="auto"/>
        <w:outlineLvl w:val="9"/>
        <w:rPr>
          <w:rFonts w:hint="eastAsia" w:ascii="宋体" w:hAnsi="宋体" w:eastAsia="宋体"/>
          <w:sz w:val="24"/>
          <w:szCs w:val="24"/>
          <w:lang w:eastAsia="zh-CN"/>
        </w:rPr>
      </w:pPr>
      <w:r>
        <w:rPr>
          <w:rFonts w:hint="eastAsia" w:ascii="宋体" w:hAnsi="宋体" w:eastAsia="宋体"/>
          <w:sz w:val="24"/>
          <w:szCs w:val="24"/>
          <w:lang w:eastAsia="zh-CN"/>
        </w:rPr>
        <w:t>（三）投资情况</w:t>
      </w:r>
    </w:p>
    <w:p>
      <w:pPr>
        <w:keepNext w:val="0"/>
        <w:keepLines w:val="0"/>
        <w:pageBreakBefore w:val="0"/>
        <w:widowControl w:val="0"/>
        <w:kinsoku/>
        <w:wordWrap/>
        <w:overflowPunct/>
        <w:topLinePunct w:val="0"/>
        <w:autoSpaceDE/>
        <w:autoSpaceDN/>
        <w:bidi w:val="0"/>
        <w:adjustRightInd w:val="0"/>
        <w:snapToGrid w:val="0"/>
        <w:spacing w:line="420" w:lineRule="exact"/>
        <w:ind w:left="0" w:leftChars="0" w:right="0" w:rightChars="0" w:firstLine="480" w:firstLineChars="200"/>
        <w:jc w:val="both"/>
        <w:textAlignment w:val="auto"/>
        <w:outlineLvl w:val="9"/>
        <w:rPr>
          <w:rFonts w:hint="eastAsia" w:ascii="宋体" w:hAnsi="宋体" w:eastAsia="宋体"/>
          <w:sz w:val="24"/>
          <w:szCs w:val="24"/>
          <w:lang w:eastAsia="zh-CN"/>
        </w:rPr>
      </w:pPr>
      <w:r>
        <w:rPr>
          <w:rFonts w:hint="eastAsia" w:ascii="宋体" w:hAnsi="宋体" w:eastAsia="宋体"/>
          <w:sz w:val="24"/>
          <w:szCs w:val="24"/>
          <w:lang w:eastAsia="zh-CN"/>
        </w:rPr>
        <w:t>本项目实际投资为</w:t>
      </w:r>
      <w:r>
        <w:rPr>
          <w:rFonts w:hint="eastAsia" w:ascii="宋体" w:hAnsi="宋体" w:eastAsia="宋体"/>
          <w:sz w:val="24"/>
          <w:szCs w:val="24"/>
          <w:lang w:val="en-US" w:eastAsia="zh-CN"/>
        </w:rPr>
        <w:t>50</w:t>
      </w:r>
      <w:r>
        <w:rPr>
          <w:rFonts w:hint="eastAsia" w:ascii="宋体" w:hAnsi="宋体" w:eastAsia="宋体"/>
          <w:sz w:val="24"/>
          <w:szCs w:val="24"/>
          <w:lang w:eastAsia="zh-CN"/>
        </w:rPr>
        <w:t>万元，环保投资</w:t>
      </w:r>
      <w:r>
        <w:rPr>
          <w:rFonts w:hint="eastAsia" w:ascii="宋体" w:hAnsi="宋体" w:eastAsia="宋体"/>
          <w:sz w:val="24"/>
          <w:szCs w:val="24"/>
          <w:lang w:val="en-US" w:eastAsia="zh-CN"/>
        </w:rPr>
        <w:t>4</w:t>
      </w:r>
      <w:r>
        <w:rPr>
          <w:rFonts w:hint="eastAsia" w:ascii="宋体" w:hAnsi="宋体" w:eastAsia="宋体"/>
          <w:sz w:val="24"/>
          <w:szCs w:val="24"/>
          <w:lang w:eastAsia="zh-CN"/>
        </w:rPr>
        <w:t>万元，占项目总投资的</w:t>
      </w:r>
      <w:r>
        <w:rPr>
          <w:rFonts w:hint="eastAsia" w:ascii="宋体" w:hAnsi="宋体" w:eastAsia="宋体"/>
          <w:sz w:val="24"/>
          <w:szCs w:val="24"/>
          <w:lang w:val="en-US" w:eastAsia="zh-CN"/>
        </w:rPr>
        <w:t>8</w:t>
      </w:r>
      <w:r>
        <w:rPr>
          <w:rFonts w:hint="eastAsia" w:ascii="宋体" w:hAnsi="宋体" w:eastAsia="宋体"/>
          <w:sz w:val="24"/>
          <w:szCs w:val="24"/>
          <w:lang w:eastAsia="zh-CN"/>
        </w:rPr>
        <w:t>%</w:t>
      </w:r>
      <w:r>
        <w:rPr>
          <w:rFonts w:hint="eastAsia" w:ascii="宋体" w:hAnsi="宋体" w:eastAsia="宋体"/>
          <w:sz w:val="24"/>
          <w:szCs w:val="24"/>
          <w:lang w:val="zh-CN" w:eastAsia="zh-CN"/>
        </w:rPr>
        <w:t>。</w:t>
      </w:r>
    </w:p>
    <w:p>
      <w:pPr>
        <w:keepNext w:val="0"/>
        <w:keepLines w:val="0"/>
        <w:pageBreakBefore w:val="0"/>
        <w:widowControl w:val="0"/>
        <w:kinsoku/>
        <w:wordWrap/>
        <w:overflowPunct/>
        <w:topLinePunct w:val="0"/>
        <w:autoSpaceDE/>
        <w:autoSpaceDN/>
        <w:bidi w:val="0"/>
        <w:adjustRightInd w:val="0"/>
        <w:snapToGrid w:val="0"/>
        <w:spacing w:line="420" w:lineRule="exact"/>
        <w:ind w:left="0" w:leftChars="0" w:right="0" w:rightChars="0" w:firstLine="480" w:firstLineChars="200"/>
        <w:jc w:val="both"/>
        <w:textAlignment w:val="auto"/>
        <w:outlineLvl w:val="9"/>
        <w:rPr>
          <w:rFonts w:hint="eastAsia" w:ascii="宋体" w:hAnsi="宋体" w:eastAsia="宋体"/>
          <w:sz w:val="24"/>
          <w:szCs w:val="24"/>
          <w:lang w:eastAsia="zh-CN"/>
        </w:rPr>
      </w:pPr>
      <w:r>
        <w:rPr>
          <w:rFonts w:hint="eastAsia" w:ascii="宋体" w:hAnsi="宋体" w:eastAsia="宋体"/>
          <w:sz w:val="24"/>
          <w:szCs w:val="24"/>
          <w:lang w:eastAsia="zh-CN"/>
        </w:rPr>
        <w:t>（四）验收范围</w:t>
      </w:r>
    </w:p>
    <w:p>
      <w:pPr>
        <w:keepNext w:val="0"/>
        <w:keepLines w:val="0"/>
        <w:pageBreakBefore w:val="0"/>
        <w:widowControl w:val="0"/>
        <w:kinsoku/>
        <w:wordWrap/>
        <w:overflowPunct/>
        <w:topLinePunct w:val="0"/>
        <w:autoSpaceDE/>
        <w:autoSpaceDN/>
        <w:bidi w:val="0"/>
        <w:adjustRightInd w:val="0"/>
        <w:snapToGrid w:val="0"/>
        <w:spacing w:line="420" w:lineRule="exact"/>
        <w:ind w:right="0" w:rightChars="0" w:firstLine="480" w:firstLineChars="200"/>
        <w:jc w:val="both"/>
        <w:textAlignment w:val="auto"/>
        <w:rPr>
          <w:rFonts w:hint="eastAsia" w:eastAsia="宋体"/>
          <w:lang w:eastAsia="zh-CN"/>
        </w:rPr>
      </w:pPr>
      <w:r>
        <w:rPr>
          <w:rFonts w:hint="eastAsia" w:ascii="宋体" w:hAnsi="宋体" w:eastAsia="宋体" w:cs="宋体"/>
          <w:bCs/>
          <w:color w:val="000000" w:themeColor="text1"/>
          <w:sz w:val="24"/>
          <w:szCs w:val="24"/>
          <w14:textFill>
            <w14:solidFill>
              <w14:schemeClr w14:val="tx1"/>
            </w14:solidFill>
          </w14:textFill>
        </w:rPr>
        <w:t>本次验收</w:t>
      </w:r>
      <w:r>
        <w:rPr>
          <w:rFonts w:hint="eastAsia" w:ascii="宋体" w:hAnsi="宋体" w:eastAsia="宋体" w:cs="宋体"/>
          <w:bCs/>
          <w:color w:val="000000" w:themeColor="text1"/>
          <w:sz w:val="24"/>
          <w:szCs w:val="24"/>
          <w:lang w:eastAsia="zh-CN"/>
          <w14:textFill>
            <w14:solidFill>
              <w14:schemeClr w14:val="tx1"/>
            </w14:solidFill>
          </w14:textFill>
        </w:rPr>
        <w:t>的范围为本项目环评及环评批复涉及范围。</w:t>
      </w:r>
    </w:p>
    <w:p>
      <w:pPr>
        <w:pStyle w:val="7"/>
        <w:keepNext w:val="0"/>
        <w:keepLines w:val="0"/>
        <w:pageBreakBefore w:val="0"/>
        <w:widowControl w:val="0"/>
        <w:numPr>
          <w:ilvl w:val="0"/>
          <w:numId w:val="1"/>
        </w:numPr>
        <w:shd w:val="clear" w:color="auto"/>
        <w:kinsoku/>
        <w:wordWrap/>
        <w:overflowPunct/>
        <w:topLinePunct w:val="0"/>
        <w:autoSpaceDE/>
        <w:autoSpaceDN/>
        <w:bidi w:val="0"/>
        <w:adjustRightInd w:val="0"/>
        <w:snapToGrid w:val="0"/>
        <w:spacing w:beforeAutospacing="0" w:afterAutospacing="0" w:line="360" w:lineRule="auto"/>
        <w:ind w:left="0" w:leftChars="0" w:right="0" w:rightChars="0" w:firstLine="482" w:firstLineChars="200"/>
        <w:jc w:val="both"/>
        <w:textAlignment w:val="auto"/>
        <w:rPr>
          <w:rFonts w:hint="eastAsia" w:asciiTheme="minorEastAsia" w:hAnsiTheme="minorEastAsia" w:eastAsiaTheme="minorEastAsia" w:cstheme="minorEastAsia"/>
          <w:b/>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工程变动情况</w:t>
      </w:r>
    </w:p>
    <w:p>
      <w:pPr>
        <w:pStyle w:val="7"/>
        <w:keepNext w:val="0"/>
        <w:keepLines w:val="0"/>
        <w:pageBreakBefore w:val="0"/>
        <w:widowControl w:val="0"/>
        <w:shd w:val="clear" w:color="auto"/>
        <w:kinsoku/>
        <w:wordWrap/>
        <w:overflowPunct/>
        <w:topLinePunct w:val="0"/>
        <w:autoSpaceDE/>
        <w:autoSpaceDN/>
        <w:bidi w:val="0"/>
        <w:adjustRightInd w:val="0"/>
        <w:snapToGrid w:val="0"/>
        <w:spacing w:beforeAutospacing="0" w:afterAutospacing="0" w:line="360" w:lineRule="auto"/>
        <w:ind w:left="0" w:leftChars="0" w:right="0" w:rightChars="0" w:firstLine="480" w:firstLineChars="200"/>
        <w:jc w:val="both"/>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该项目建设情况与</w:t>
      </w:r>
      <w:r>
        <w:rPr>
          <w:rStyle w:val="11"/>
          <w:rFonts w:hint="eastAsia" w:ascii="宋体" w:hAnsi="宋体" w:eastAsia="宋体" w:cs="宋体"/>
          <w:b w:val="0"/>
          <w:color w:val="000000" w:themeColor="text1"/>
          <w:sz w:val="24"/>
          <w:szCs w:val="24"/>
          <w:shd w:val="clear" w:color="auto" w:fill="FFFFFF"/>
          <w14:textFill>
            <w14:solidFill>
              <w14:schemeClr w14:val="tx1"/>
            </w14:solidFill>
          </w14:textFill>
        </w:rPr>
        <w:t>《</w:t>
      </w:r>
      <w:r>
        <w:rPr>
          <w:rFonts w:hint="eastAsia" w:ascii="宋体" w:hAnsi="宋体" w:eastAsia="宋体" w:cs="宋体"/>
          <w:sz w:val="24"/>
          <w:szCs w:val="24"/>
          <w:lang w:eastAsia="zh-CN"/>
        </w:rPr>
        <w:t>泊头市东辛店红日砖瓦厂年产5000万块承重混凝土多孔砖项目</w:t>
      </w:r>
      <w:r>
        <w:rPr>
          <w:rFonts w:hint="eastAsia" w:ascii="宋体" w:hAnsi="宋体" w:eastAsia="宋体" w:cs="宋体"/>
          <w:sz w:val="24"/>
          <w:szCs w:val="24"/>
          <w:lang w:val="en-US" w:eastAsia="zh-CN"/>
        </w:rPr>
        <w:t>环境影响报告表》和</w:t>
      </w:r>
      <w:r>
        <w:rPr>
          <w:rFonts w:hint="eastAsia" w:ascii="宋体" w:hAnsi="宋体" w:eastAsia="宋体"/>
          <w:sz w:val="24"/>
          <w:szCs w:val="24"/>
          <w:lang w:val="zh-CN" w:eastAsia="zh-CN"/>
        </w:rPr>
        <w:t>沧州市生态环境局泊头市分局</w:t>
      </w:r>
      <w:r>
        <w:rPr>
          <w:rFonts w:hint="eastAsia" w:ascii="宋体" w:hAnsi="宋体" w:eastAsia="宋体" w:cs="宋体"/>
          <w:sz w:val="24"/>
          <w:szCs w:val="24"/>
          <w:lang w:val="en-US" w:eastAsia="zh-CN"/>
        </w:rPr>
        <w:t>对该项目</w:t>
      </w:r>
      <w:r>
        <w:rPr>
          <w:rFonts w:hint="eastAsia" w:ascii="宋体" w:hAnsi="宋体" w:eastAsia="宋体" w:cs="宋体"/>
          <w:bCs/>
          <w:color w:val="000000" w:themeColor="text1"/>
          <w:sz w:val="24"/>
          <w:szCs w:val="24"/>
          <w14:textFill>
            <w14:solidFill>
              <w14:schemeClr w14:val="tx1"/>
            </w14:solidFill>
          </w14:textFill>
        </w:rPr>
        <w:t>审批意见</w:t>
      </w:r>
      <w:r>
        <w:rPr>
          <w:rFonts w:hint="eastAsia" w:ascii="宋体" w:hAnsi="宋体" w:eastAsia="宋体" w:cs="宋体"/>
          <w:sz w:val="24"/>
          <w:szCs w:val="24"/>
          <w:lang w:val="en-US" w:eastAsia="zh-CN"/>
        </w:rPr>
        <w:t>【泊环表[2020]w374号】</w:t>
      </w:r>
      <w:r>
        <w:rPr>
          <w:rFonts w:hint="eastAsia" w:ascii="宋体" w:hAnsi="宋体" w:eastAsia="宋体" w:cs="宋体"/>
          <w:bCs/>
          <w:color w:val="000000" w:themeColor="text1"/>
          <w:sz w:val="24"/>
          <w:szCs w:val="24"/>
          <w14:textFill>
            <w14:solidFill>
              <w14:schemeClr w14:val="tx1"/>
            </w14:solidFill>
          </w14:textFill>
        </w:rPr>
        <w:t>中规定内容</w:t>
      </w:r>
      <w:r>
        <w:rPr>
          <w:rFonts w:hint="eastAsia" w:ascii="宋体" w:hAnsi="宋体" w:eastAsia="宋体" w:cs="宋体"/>
          <w:bCs/>
          <w:color w:val="000000" w:themeColor="text1"/>
          <w:sz w:val="24"/>
          <w:szCs w:val="24"/>
          <w:lang w:eastAsia="zh-CN"/>
          <w14:textFill>
            <w14:solidFill>
              <w14:schemeClr w14:val="tx1"/>
            </w14:solidFill>
          </w14:textFill>
        </w:rPr>
        <w:t>一致</w:t>
      </w:r>
      <w:r>
        <w:rPr>
          <w:rFonts w:hint="eastAsia" w:ascii="宋体" w:hAnsi="宋体" w:eastAsia="宋体" w:cs="宋体"/>
          <w:snapToGrid w:val="0"/>
          <w:color w:val="000000" w:themeColor="text1"/>
          <w:sz w:val="24"/>
          <w:szCs w:val="24"/>
          <w:lang w:val="zh-CN"/>
          <w14:textFill>
            <w14:solidFill>
              <w14:schemeClr w14:val="tx1"/>
            </w14:solidFill>
          </w14:textFill>
        </w:rPr>
        <w:t>，</w:t>
      </w:r>
      <w:r>
        <w:rPr>
          <w:rFonts w:hint="eastAsia" w:ascii="宋体" w:hAnsi="宋体" w:eastAsia="宋体" w:cs="宋体"/>
          <w:bCs/>
          <w:color w:val="000000" w:themeColor="text1"/>
          <w:sz w:val="24"/>
          <w:szCs w:val="24"/>
          <w14:textFill>
            <w14:solidFill>
              <w14:schemeClr w14:val="tx1"/>
            </w14:solidFill>
          </w14:textFill>
        </w:rPr>
        <w:t>无</w:t>
      </w:r>
      <w:r>
        <w:rPr>
          <w:rFonts w:hint="eastAsia" w:ascii="宋体" w:hAnsi="宋体" w:eastAsia="宋体" w:cs="宋体"/>
          <w:bCs/>
          <w:color w:val="000000" w:themeColor="text1"/>
          <w:sz w:val="24"/>
          <w:szCs w:val="24"/>
          <w:lang w:eastAsia="zh-CN"/>
          <w14:textFill>
            <w14:solidFill>
              <w14:schemeClr w14:val="tx1"/>
            </w14:solidFill>
          </w14:textFill>
        </w:rPr>
        <w:t>重大</w:t>
      </w:r>
      <w:r>
        <w:rPr>
          <w:rFonts w:hint="eastAsia" w:ascii="宋体" w:hAnsi="宋体" w:eastAsia="宋体" w:cs="宋体"/>
          <w:bCs/>
          <w:color w:val="000000" w:themeColor="text1"/>
          <w:sz w:val="24"/>
          <w:szCs w:val="24"/>
          <w14:textFill>
            <w14:solidFill>
              <w14:schemeClr w14:val="tx1"/>
            </w14:solidFill>
          </w14:textFill>
        </w:rPr>
        <w:t>变动情况。</w:t>
      </w:r>
    </w:p>
    <w:p>
      <w:pPr>
        <w:pStyle w:val="7"/>
        <w:keepNext w:val="0"/>
        <w:keepLines w:val="0"/>
        <w:pageBreakBefore w:val="0"/>
        <w:widowControl w:val="0"/>
        <w:numPr>
          <w:ilvl w:val="0"/>
          <w:numId w:val="1"/>
        </w:numPr>
        <w:shd w:val="clear" w:color="auto"/>
        <w:kinsoku/>
        <w:wordWrap/>
        <w:overflowPunct/>
        <w:topLinePunct w:val="0"/>
        <w:autoSpaceDE/>
        <w:autoSpaceDN/>
        <w:bidi w:val="0"/>
        <w:adjustRightInd w:val="0"/>
        <w:snapToGrid w:val="0"/>
        <w:spacing w:beforeAutospacing="0" w:afterAutospacing="0" w:line="360" w:lineRule="auto"/>
        <w:ind w:left="0" w:leftChars="0" w:right="0" w:rightChars="0" w:firstLine="482" w:firstLineChars="200"/>
        <w:jc w:val="both"/>
        <w:textAlignment w:val="auto"/>
        <w:rPr>
          <w:rStyle w:val="11"/>
          <w:rFonts w:hint="eastAsia" w:asciiTheme="minorEastAsia" w:hAnsiTheme="minorEastAsia" w:cstheme="minorEastAsia"/>
          <w:b w:val="0"/>
          <w:bCs/>
          <w:color w:val="000000" w:themeColor="text1"/>
          <w:sz w:val="24"/>
          <w:szCs w:val="24"/>
          <w:shd w:val="clear" w:color="auto" w:fill="FFFFFF"/>
          <w:lang w:eastAsia="zh-CN"/>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环境保护设施建设情况</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firstLine="480" w:firstLineChars="200"/>
        <w:textAlignment w:val="auto"/>
        <w:rPr>
          <w:rFonts w:hint="eastAsia"/>
          <w:bCs/>
          <w:color w:val="auto"/>
          <w:sz w:val="24"/>
          <w:szCs w:val="24"/>
        </w:rPr>
      </w:pPr>
      <w:r>
        <w:rPr>
          <w:bCs/>
          <w:color w:val="auto"/>
          <w:sz w:val="24"/>
          <w:szCs w:val="24"/>
        </w:rPr>
        <w:t>大气污染物：</w:t>
      </w:r>
      <w:r>
        <w:rPr>
          <w:rFonts w:hint="eastAsia"/>
          <w:bCs/>
          <w:color w:val="auto"/>
          <w:sz w:val="24"/>
          <w:szCs w:val="24"/>
          <w:lang w:eastAsia="zh-CN"/>
        </w:rPr>
        <w:t>罐顶、投料、搅拌废气：集气罩+布袋除尘器+1根不低于15米高排气筒；</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firstLine="480" w:firstLineChars="200"/>
        <w:textAlignment w:val="auto"/>
        <w:rPr>
          <w:rFonts w:hint="eastAsia"/>
          <w:bCs/>
          <w:color w:val="auto"/>
          <w:sz w:val="24"/>
          <w:szCs w:val="24"/>
        </w:rPr>
      </w:pPr>
      <w:r>
        <w:rPr>
          <w:bCs/>
          <w:color w:val="auto"/>
          <w:sz w:val="24"/>
          <w:szCs w:val="24"/>
        </w:rPr>
        <w:t>废水：</w:t>
      </w:r>
      <w:r>
        <w:rPr>
          <w:rFonts w:hint="eastAsia"/>
          <w:bCs/>
          <w:color w:val="auto"/>
          <w:sz w:val="24"/>
          <w:szCs w:val="24"/>
        </w:rPr>
        <w:t>项目搅拌用水、养护用水进入产品，不外排；搅拌机清洗水、车辆冲洗水进入沉淀池，循环使用不外排；生活废水水质简单水量少，用于泼洒抑尘，不外排</w:t>
      </w:r>
      <w:r>
        <w:rPr>
          <w:rFonts w:hint="eastAsia"/>
          <w:bCs/>
          <w:color w:val="auto"/>
          <w:sz w:val="24"/>
          <w:szCs w:val="24"/>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eastAsiaTheme="minorEastAsia"/>
          <w:bCs/>
          <w:color w:val="auto"/>
          <w:sz w:val="24"/>
          <w:szCs w:val="24"/>
          <w:lang w:eastAsia="zh-CN"/>
        </w:rPr>
      </w:pPr>
      <w:r>
        <w:rPr>
          <w:bCs/>
          <w:color w:val="auto"/>
          <w:sz w:val="24"/>
          <w:szCs w:val="24"/>
        </w:rPr>
        <w:t>3、噪声：</w:t>
      </w:r>
      <w:r>
        <w:rPr>
          <w:rFonts w:hint="eastAsia"/>
          <w:bCs/>
          <w:color w:val="auto"/>
          <w:sz w:val="24"/>
          <w:szCs w:val="24"/>
        </w:rPr>
        <w:t>项目主要噪声源为加工设备运行噪声，如配料机、选筛机、 搅拌机、输送机、轮碾机、装载机等。噪声值约为70〜90dB（A）。本项目选用低噪声设备，并采取基础减震、厂房隔声等措施，经距离衰减后对周围声环境影响较小</w:t>
      </w:r>
      <w:r>
        <w:rPr>
          <w:rFonts w:hint="eastAsia"/>
          <w:bCs/>
          <w:color w:val="auto"/>
          <w:sz w:val="24"/>
          <w:szCs w:val="24"/>
          <w:lang w:eastAsia="zh-CN"/>
        </w:rPr>
        <w:t>；</w:t>
      </w:r>
    </w:p>
    <w:p>
      <w:pPr>
        <w:pStyle w:val="4"/>
        <w:keepNext w:val="0"/>
        <w:keepLines w:val="0"/>
        <w:pageBreakBefore w:val="0"/>
        <w:widowControl w:val="0"/>
        <w:kinsoku/>
        <w:wordWrap/>
        <w:overflowPunct/>
        <w:topLinePunct w:val="0"/>
        <w:autoSpaceDE/>
        <w:autoSpaceDN/>
        <w:bidi w:val="0"/>
        <w:adjustRightInd w:val="0"/>
        <w:snapToGrid w:val="0"/>
        <w:spacing w:before="0" w:line="360" w:lineRule="auto"/>
        <w:ind w:left="0" w:leftChars="0" w:right="0" w:rightChars="0" w:firstLine="480" w:firstLineChars="200"/>
        <w:textAlignment w:val="auto"/>
        <w:outlineLvl w:val="1"/>
        <w:rPr>
          <w:rFonts w:hint="eastAsia" w:ascii="Times New Roman" w:hAnsi="Times New Roman" w:eastAsiaTheme="minorEastAsia" w:cstheme="minorBidi"/>
          <w:bCs/>
          <w:color w:val="auto"/>
          <w:kern w:val="2"/>
          <w:sz w:val="24"/>
          <w:szCs w:val="24"/>
          <w:lang w:val="en-US" w:eastAsia="zh-CN" w:bidi="ar-SA"/>
        </w:rPr>
      </w:pPr>
      <w:r>
        <w:rPr>
          <w:rFonts w:ascii="Times New Roman" w:hAnsi="Times New Roman" w:eastAsiaTheme="minorEastAsia" w:cstheme="minorBidi"/>
          <w:bCs/>
          <w:color w:val="auto"/>
          <w:kern w:val="2"/>
          <w:sz w:val="24"/>
          <w:szCs w:val="24"/>
          <w:lang w:val="en-US" w:eastAsia="zh-CN" w:bidi="ar-SA"/>
        </w:rPr>
        <w:t>4、固物：</w:t>
      </w:r>
      <w:r>
        <w:rPr>
          <w:rFonts w:hint="eastAsia" w:ascii="Times New Roman" w:hAnsi="Times New Roman" w:eastAsiaTheme="minorEastAsia" w:cstheme="minorBidi"/>
          <w:bCs/>
          <w:color w:val="auto"/>
          <w:kern w:val="2"/>
          <w:sz w:val="24"/>
          <w:szCs w:val="24"/>
          <w:lang w:val="en-US" w:eastAsia="zh-CN" w:bidi="ar-SA"/>
        </w:rPr>
        <w:t>本项目生产过程中产生的固废主要为撒落料、残次品、沉渣、除尘灰。撒落料、残次品、沉渣、除尘灰收集回用于生产</w:t>
      </w:r>
      <w:r>
        <w:rPr>
          <w:rFonts w:hint="eastAsia" w:ascii="Times New Roman" w:hAnsi="Times New Roman" w:cstheme="minorBidi"/>
          <w:bCs/>
          <w:color w:val="auto"/>
          <w:kern w:val="2"/>
          <w:sz w:val="24"/>
          <w:szCs w:val="24"/>
          <w:lang w:val="en-US" w:eastAsia="zh-CN" w:bidi="ar-SA"/>
        </w:rPr>
        <w:t>。</w:t>
      </w:r>
    </w:p>
    <w:p>
      <w:pPr>
        <w:pStyle w:val="4"/>
        <w:keepNext w:val="0"/>
        <w:keepLines w:val="0"/>
        <w:pageBreakBefore w:val="0"/>
        <w:widowControl w:val="0"/>
        <w:kinsoku/>
        <w:wordWrap/>
        <w:overflowPunct/>
        <w:topLinePunct w:val="0"/>
        <w:autoSpaceDE/>
        <w:autoSpaceDN/>
        <w:bidi w:val="0"/>
        <w:adjustRightInd w:val="0"/>
        <w:snapToGrid w:val="0"/>
        <w:spacing w:before="0" w:line="360" w:lineRule="auto"/>
        <w:ind w:right="0"/>
        <w:textAlignment w:val="auto"/>
        <w:rPr>
          <w:rStyle w:val="11"/>
          <w:rFonts w:hint="eastAsia" w:hAnsi="宋体" w:eastAsia="宋体" w:cs="宋体"/>
          <w:b/>
          <w:bCs w:val="0"/>
          <w:color w:val="auto"/>
          <w:sz w:val="24"/>
          <w:szCs w:val="24"/>
          <w:shd w:val="clear" w:color="auto" w:fill="FFFFFF"/>
          <w:lang w:val="en-US" w:eastAsia="zh-CN"/>
        </w:rPr>
      </w:pPr>
      <w:r>
        <w:rPr>
          <w:rStyle w:val="11"/>
          <w:rFonts w:hint="eastAsia" w:hAnsi="宋体" w:eastAsia="宋体" w:cs="宋体"/>
          <w:b/>
          <w:bCs w:val="0"/>
          <w:color w:val="auto"/>
          <w:sz w:val="24"/>
          <w:szCs w:val="24"/>
          <w:shd w:val="clear" w:color="auto" w:fill="FFFFFF"/>
          <w:lang w:val="en-US" w:eastAsia="zh-CN"/>
        </w:rPr>
        <w:t>四、环境保护设施调试效果</w:t>
      </w:r>
    </w:p>
    <w:p>
      <w:pPr>
        <w:pStyle w:val="4"/>
        <w:keepNext w:val="0"/>
        <w:keepLines w:val="0"/>
        <w:pageBreakBefore w:val="0"/>
        <w:widowControl w:val="0"/>
        <w:kinsoku/>
        <w:wordWrap/>
        <w:overflowPunct/>
        <w:topLinePunct w:val="0"/>
        <w:autoSpaceDE/>
        <w:autoSpaceDN/>
        <w:bidi w:val="0"/>
        <w:adjustRightInd w:val="0"/>
        <w:snapToGrid w:val="0"/>
        <w:spacing w:before="0" w:line="360" w:lineRule="auto"/>
        <w:ind w:right="0"/>
        <w:textAlignment w:val="auto"/>
        <w:rPr>
          <w:rStyle w:val="11"/>
          <w:rFonts w:hint="default" w:ascii="Times New Roman" w:hAnsi="Times New Roman" w:eastAsia="宋体" w:cs="Times New Roman"/>
          <w:b w:val="0"/>
          <w:bCs/>
          <w:color w:val="auto"/>
          <w:sz w:val="24"/>
          <w:szCs w:val="24"/>
          <w:shd w:val="clear" w:color="auto" w:fill="FFFFFF"/>
          <w:lang w:val="zh-CN" w:eastAsia="zh-CN"/>
        </w:rPr>
      </w:pPr>
      <w:r>
        <w:rPr>
          <w:rStyle w:val="11"/>
          <w:rFonts w:hint="default" w:ascii="Times New Roman" w:hAnsi="Times New Roman" w:eastAsia="宋体" w:cs="Times New Roman"/>
          <w:b w:val="0"/>
          <w:bCs/>
          <w:color w:val="auto"/>
          <w:sz w:val="24"/>
          <w:szCs w:val="24"/>
          <w:shd w:val="clear" w:color="auto" w:fill="FFFFFF"/>
          <w:lang w:val="zh-CN" w:eastAsia="zh-CN"/>
        </w:rPr>
        <w:t>2021年01月</w:t>
      </w:r>
      <w:r>
        <w:rPr>
          <w:rStyle w:val="11"/>
          <w:rFonts w:hint="eastAsia" w:ascii="Times New Roman" w:hAnsi="Times New Roman" w:eastAsia="宋体" w:cs="Times New Roman"/>
          <w:b w:val="0"/>
          <w:bCs/>
          <w:color w:val="auto"/>
          <w:sz w:val="24"/>
          <w:szCs w:val="24"/>
          <w:shd w:val="clear" w:color="auto" w:fill="FFFFFF"/>
          <w:lang w:val="en-US" w:eastAsia="zh-CN"/>
        </w:rPr>
        <w:t>11-12</w:t>
      </w:r>
      <w:r>
        <w:rPr>
          <w:rStyle w:val="11"/>
          <w:rFonts w:hint="default" w:ascii="Times New Roman" w:hAnsi="Times New Roman" w:eastAsia="宋体" w:cs="Times New Roman"/>
          <w:b w:val="0"/>
          <w:bCs/>
          <w:color w:val="auto"/>
          <w:sz w:val="24"/>
          <w:szCs w:val="24"/>
          <w:shd w:val="clear" w:color="auto" w:fill="FFFFFF"/>
          <w:lang w:val="zh-CN" w:eastAsia="zh-CN"/>
        </w:rPr>
        <w:t>日，北京环创康泰科技有限公司对该企业进行了环境保护竣工验收监测和检查，并在此基础上编写了本报告。验收监测期间，生产线正常生产，负荷达到了国家规定的75%以上工况的要求,符合验收监测要求。</w:t>
      </w:r>
    </w:p>
    <w:p>
      <w:pPr>
        <w:keepNext w:val="0"/>
        <w:keepLines w:val="0"/>
        <w:pageBreakBefore w:val="0"/>
        <w:widowControl w:val="0"/>
        <w:tabs>
          <w:tab w:val="left" w:pos="3225"/>
        </w:tabs>
        <w:kinsoku/>
        <w:wordWrap/>
        <w:overflowPunct/>
        <w:topLinePunct w:val="0"/>
        <w:autoSpaceDE/>
        <w:autoSpaceDN/>
        <w:bidi w:val="0"/>
        <w:adjustRightInd w:val="0"/>
        <w:snapToGrid w:val="0"/>
        <w:spacing w:line="360" w:lineRule="auto"/>
        <w:ind w:right="0" w:rightChars="0" w:firstLine="480" w:firstLineChars="200"/>
        <w:jc w:val="both"/>
        <w:textAlignment w:val="auto"/>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经检测，该企业灌顶、投料、搅拌工序废气经集气罩收集+布袋除尘器处理，处理后经15米高排气筒排放。颗粒物监测浓度最高值为8.7mg/m</w:t>
      </w:r>
      <w:r>
        <w:rPr>
          <w:rFonts w:hint="default" w:ascii="Times New Roman" w:hAnsi="Times New Roman" w:cs="Times New Roman" w:eastAsiaTheme="minorEastAsia"/>
          <w:sz w:val="24"/>
          <w:szCs w:val="24"/>
          <w:vertAlign w:val="superscript"/>
          <w:lang w:val="en-US" w:eastAsia="zh-CN"/>
        </w:rPr>
        <w:t>3</w:t>
      </w:r>
      <w:r>
        <w:rPr>
          <w:rFonts w:hint="default" w:ascii="Times New Roman" w:hAnsi="Times New Roman" w:cs="Times New Roman" w:eastAsiaTheme="minorEastAsia"/>
          <w:sz w:val="24"/>
          <w:szCs w:val="24"/>
          <w:lang w:val="en-US" w:eastAsia="zh-CN"/>
        </w:rPr>
        <w:t>，排放速率为0.032kg/h；《水泥工业大气污染物超低排放标准》(河北省地方标准 DB13/2167-2020)表1中标准要求（颗粒物≤10mg/m</w:t>
      </w:r>
      <w:r>
        <w:rPr>
          <w:rFonts w:hint="default" w:ascii="Times New Roman" w:hAnsi="Times New Roman" w:cs="Times New Roman" w:eastAsiaTheme="minorEastAsia"/>
          <w:sz w:val="24"/>
          <w:szCs w:val="24"/>
          <w:vertAlign w:val="superscript"/>
          <w:lang w:val="en-US" w:eastAsia="zh-CN"/>
        </w:rPr>
        <w:t>3</w:t>
      </w:r>
      <w:r>
        <w:rPr>
          <w:rFonts w:hint="default" w:ascii="Times New Roman" w:hAnsi="Times New Roman" w:cs="Times New Roman" w:eastAsiaTheme="minorEastAsia"/>
          <w:sz w:val="24"/>
          <w:szCs w:val="24"/>
          <w:lang w:val="en-US" w:eastAsia="zh-CN"/>
        </w:rPr>
        <w:t>）。</w:t>
      </w:r>
    </w:p>
    <w:p>
      <w:pPr>
        <w:keepNext w:val="0"/>
        <w:keepLines w:val="0"/>
        <w:pageBreakBefore w:val="0"/>
        <w:widowControl w:val="0"/>
        <w:tabs>
          <w:tab w:val="left" w:pos="3225"/>
        </w:tabs>
        <w:kinsoku/>
        <w:wordWrap/>
        <w:overflowPunct/>
        <w:topLinePunct w:val="0"/>
        <w:autoSpaceDE/>
        <w:autoSpaceDN/>
        <w:bidi w:val="0"/>
        <w:adjustRightInd w:val="0"/>
        <w:snapToGrid w:val="0"/>
        <w:spacing w:line="360" w:lineRule="auto"/>
        <w:ind w:right="0" w:rightChars="0" w:firstLine="480" w:firstLineChars="200"/>
        <w:jc w:val="both"/>
        <w:textAlignment w:val="auto"/>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经检测，该企业厂界无组织排放废气中，总悬浮颗粒物监测浓度最高值为0.46mg/m</w:t>
      </w:r>
      <w:r>
        <w:rPr>
          <w:rFonts w:hint="default" w:ascii="Times New Roman" w:hAnsi="Times New Roman" w:cs="Times New Roman" w:eastAsiaTheme="minorEastAsia"/>
          <w:sz w:val="24"/>
          <w:szCs w:val="24"/>
          <w:vertAlign w:val="superscript"/>
          <w:lang w:val="en-US" w:eastAsia="zh-CN"/>
        </w:rPr>
        <w:t>3</w:t>
      </w:r>
      <w:r>
        <w:rPr>
          <w:rFonts w:hint="default" w:ascii="Times New Roman" w:hAnsi="Times New Roman" w:cs="Times New Roman" w:eastAsiaTheme="minorEastAsia"/>
          <w:sz w:val="24"/>
          <w:szCs w:val="24"/>
          <w:lang w:val="en-US" w:eastAsia="zh-CN"/>
        </w:rPr>
        <w:t>，满足《水泥工业大气污染物超低排放标准》(河北省地方标准DB13/2167-2020)表2中大气污染物无组织排放限值要求（颗粒物≤0.5mg/m</w:t>
      </w:r>
      <w:r>
        <w:rPr>
          <w:rFonts w:hint="default" w:ascii="Times New Roman" w:hAnsi="Times New Roman" w:cs="Times New Roman" w:eastAsiaTheme="minorEastAsia"/>
          <w:sz w:val="24"/>
          <w:szCs w:val="24"/>
          <w:vertAlign w:val="superscript"/>
          <w:lang w:val="en-US" w:eastAsia="zh-CN"/>
        </w:rPr>
        <w:t>3</w:t>
      </w:r>
      <w:r>
        <w:rPr>
          <w:rFonts w:hint="default" w:ascii="Times New Roman" w:hAnsi="Times New Roman" w:cs="Times New Roman" w:eastAsiaTheme="minorEastAsia"/>
          <w:sz w:val="24"/>
          <w:szCs w:val="24"/>
          <w:lang w:val="en-US" w:eastAsia="zh-CN"/>
        </w:rPr>
        <w:t>）。</w:t>
      </w:r>
    </w:p>
    <w:p>
      <w:pPr>
        <w:keepNext w:val="0"/>
        <w:keepLines w:val="0"/>
        <w:pageBreakBefore w:val="0"/>
        <w:widowControl w:val="0"/>
        <w:tabs>
          <w:tab w:val="left" w:pos="3225"/>
        </w:tabs>
        <w:kinsoku/>
        <w:wordWrap/>
        <w:overflowPunct/>
        <w:topLinePunct w:val="0"/>
        <w:autoSpaceDE/>
        <w:autoSpaceDN/>
        <w:bidi w:val="0"/>
        <w:adjustRightInd w:val="0"/>
        <w:snapToGrid w:val="0"/>
        <w:spacing w:line="360" w:lineRule="auto"/>
        <w:ind w:right="0" w:rightChars="0" w:firstLine="480" w:firstLineChars="200"/>
        <w:jc w:val="both"/>
        <w:textAlignment w:val="auto"/>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项目搅拌用水、养护用水进入产品，不外排；搅拌机清洗水、车辆冲洗水进入沉淀池，循环使用不外排；生活废水水质简单水量少，用于泼洒抑尘，不外排。</w:t>
      </w:r>
    </w:p>
    <w:p>
      <w:pPr>
        <w:keepNext w:val="0"/>
        <w:keepLines w:val="0"/>
        <w:pageBreakBefore w:val="0"/>
        <w:widowControl w:val="0"/>
        <w:tabs>
          <w:tab w:val="left" w:pos="3225"/>
        </w:tabs>
        <w:kinsoku/>
        <w:wordWrap/>
        <w:overflowPunct/>
        <w:topLinePunct w:val="0"/>
        <w:autoSpaceDE/>
        <w:autoSpaceDN/>
        <w:bidi w:val="0"/>
        <w:adjustRightInd w:val="0"/>
        <w:snapToGrid w:val="0"/>
        <w:spacing w:line="360" w:lineRule="auto"/>
        <w:ind w:right="0" w:rightChars="0" w:firstLine="480" w:firstLineChars="200"/>
        <w:jc w:val="both"/>
        <w:textAlignment w:val="auto"/>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项目主要噪声源为加工设备运行噪声，如配料机、选筛机、 搅拌机、输送机、轮碾机、装载机等，选用低噪声设备、基础减振、厂房隔声等降噪措施。</w:t>
      </w:r>
    </w:p>
    <w:p>
      <w:pPr>
        <w:keepNext w:val="0"/>
        <w:keepLines w:val="0"/>
        <w:pageBreakBefore w:val="0"/>
        <w:widowControl w:val="0"/>
        <w:tabs>
          <w:tab w:val="left" w:pos="3225"/>
        </w:tabs>
        <w:kinsoku/>
        <w:wordWrap/>
        <w:overflowPunct/>
        <w:topLinePunct w:val="0"/>
        <w:autoSpaceDE/>
        <w:autoSpaceDN/>
        <w:bidi w:val="0"/>
        <w:adjustRightInd w:val="0"/>
        <w:snapToGrid w:val="0"/>
        <w:spacing w:line="360" w:lineRule="auto"/>
        <w:ind w:right="0" w:rightChars="0" w:firstLine="480" w:firstLineChars="200"/>
        <w:jc w:val="both"/>
        <w:textAlignment w:val="auto"/>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经检测，厂界东噪声昼间监测结果为56.1～59.2dB(A),夜间监测结果为45.2～ 48.9dB(A) ，满足《工业企业厂界环境噪声排放标准》（GB12348-2008）表1中2类标准（昼间≤60dB(A)，夜间≤50dB(A)）。</w:t>
      </w:r>
    </w:p>
    <w:p>
      <w:pPr>
        <w:keepNext w:val="0"/>
        <w:keepLines w:val="0"/>
        <w:pageBreakBefore w:val="0"/>
        <w:widowControl w:val="0"/>
        <w:tabs>
          <w:tab w:val="left" w:pos="3225"/>
        </w:tabs>
        <w:kinsoku/>
        <w:wordWrap/>
        <w:overflowPunct/>
        <w:topLinePunct w:val="0"/>
        <w:autoSpaceDE/>
        <w:autoSpaceDN/>
        <w:bidi w:val="0"/>
        <w:adjustRightInd w:val="0"/>
        <w:snapToGrid w:val="0"/>
        <w:spacing w:line="360" w:lineRule="auto"/>
        <w:ind w:right="0" w:rightChars="0" w:firstLine="480" w:firstLineChars="200"/>
        <w:jc w:val="both"/>
        <w:textAlignment w:val="auto"/>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本项目生产过程中产生的固废主要为撒落料、残次品、沉渣、除尘灰。撒落料、残次品、沉渣、除尘灰收集回用于生产。本项目固体废物全部综合利用或妥善处置， 不会对周边环境产生明显影响。</w:t>
      </w:r>
    </w:p>
    <w:p>
      <w:pPr>
        <w:pStyle w:val="4"/>
        <w:keepNext w:val="0"/>
        <w:keepLines w:val="0"/>
        <w:pageBreakBefore w:val="0"/>
        <w:widowControl w:val="0"/>
        <w:kinsoku/>
        <w:wordWrap/>
        <w:overflowPunct/>
        <w:topLinePunct w:val="0"/>
        <w:autoSpaceDE/>
        <w:autoSpaceDN/>
        <w:bidi w:val="0"/>
        <w:adjustRightInd w:val="0"/>
        <w:snapToGrid w:val="0"/>
        <w:spacing w:before="0" w:line="360" w:lineRule="auto"/>
        <w:ind w:right="0"/>
        <w:textAlignment w:val="auto"/>
        <w:rPr>
          <w:rStyle w:val="11"/>
          <w:rFonts w:hint="default" w:ascii="Times New Roman" w:hAnsi="Times New Roman" w:eastAsia="宋体" w:cs="Times New Roman"/>
          <w:b w:val="0"/>
          <w:bCs/>
          <w:color w:val="000000" w:themeColor="text1"/>
          <w:sz w:val="24"/>
          <w:szCs w:val="24"/>
          <w:shd w:val="clear" w:color="auto" w:fill="FFFFFF"/>
          <w:lang w:val="en-US" w:eastAsia="zh-CN"/>
          <w14:textFill>
            <w14:solidFill>
              <w14:schemeClr w14:val="tx1"/>
            </w14:solidFill>
          </w14:textFill>
        </w:rPr>
      </w:pPr>
      <w:r>
        <w:rPr>
          <w:rStyle w:val="11"/>
          <w:rFonts w:hint="default" w:ascii="Times New Roman" w:hAnsi="Times New Roman" w:eastAsia="宋体" w:cs="Times New Roman"/>
          <w:b w:val="0"/>
          <w:bCs/>
          <w:color w:val="000000" w:themeColor="text1"/>
          <w:sz w:val="24"/>
          <w:szCs w:val="24"/>
          <w:shd w:val="clear" w:color="auto" w:fill="FFFFFF"/>
          <w:lang w:val="en-US" w:eastAsia="zh-CN"/>
          <w14:textFill>
            <w14:solidFill>
              <w14:schemeClr w14:val="tx1"/>
            </w14:solidFill>
          </w14:textFill>
        </w:rPr>
        <w:t>本项目无主要污染物化学需氧量、氨氮</w:t>
      </w:r>
      <w:r>
        <w:rPr>
          <w:rStyle w:val="11"/>
          <w:rFonts w:hint="eastAsia" w:ascii="Times New Roman" w:hAnsi="Times New Roman" w:eastAsia="宋体" w:cs="Times New Roman"/>
          <w:b w:val="0"/>
          <w:bCs/>
          <w:color w:val="000000" w:themeColor="text1"/>
          <w:sz w:val="24"/>
          <w:szCs w:val="24"/>
          <w:shd w:val="clear" w:color="auto" w:fill="FFFFFF"/>
          <w:lang w:val="en-US" w:eastAsia="zh-CN"/>
          <w14:textFill>
            <w14:solidFill>
              <w14:schemeClr w14:val="tx1"/>
            </w14:solidFill>
          </w14:textFill>
        </w:rPr>
        <w:t>、</w:t>
      </w:r>
      <w:r>
        <w:rPr>
          <w:rStyle w:val="11"/>
          <w:rFonts w:hint="default" w:ascii="Times New Roman" w:hAnsi="Times New Roman" w:eastAsia="宋体" w:cs="Times New Roman"/>
          <w:b w:val="0"/>
          <w:bCs/>
          <w:color w:val="000000" w:themeColor="text1"/>
          <w:sz w:val="24"/>
          <w:szCs w:val="24"/>
          <w:shd w:val="clear" w:color="auto" w:fill="FFFFFF"/>
          <w:lang w:val="en-US" w:eastAsia="zh-CN"/>
          <w14:textFill>
            <w14:solidFill>
              <w14:schemeClr w14:val="tx1"/>
            </w14:solidFill>
          </w14:textFill>
        </w:rPr>
        <w:t>二氧化硫、氮氧化物</w:t>
      </w:r>
      <w:r>
        <w:rPr>
          <w:rStyle w:val="11"/>
          <w:rFonts w:hint="eastAsia" w:ascii="Times New Roman" w:hAnsi="Times New Roman" w:eastAsia="宋体" w:cs="Times New Roman"/>
          <w:b w:val="0"/>
          <w:bCs/>
          <w:color w:val="000000" w:themeColor="text1"/>
          <w:sz w:val="24"/>
          <w:szCs w:val="24"/>
          <w:shd w:val="clear" w:color="auto" w:fill="FFFFFF"/>
          <w:lang w:val="en-US" w:eastAsia="zh-CN"/>
          <w14:textFill>
            <w14:solidFill>
              <w14:schemeClr w14:val="tx1"/>
            </w14:solidFill>
          </w14:textFill>
        </w:rPr>
        <w:t>排放</w:t>
      </w:r>
      <w:r>
        <w:rPr>
          <w:rStyle w:val="11"/>
          <w:rFonts w:hint="default" w:ascii="Times New Roman" w:hAnsi="Times New Roman" w:eastAsia="宋体" w:cs="Times New Roman"/>
          <w:b w:val="0"/>
          <w:bCs/>
          <w:color w:val="000000" w:themeColor="text1"/>
          <w:sz w:val="24"/>
          <w:szCs w:val="24"/>
          <w:shd w:val="clear" w:color="auto" w:fill="FFFFFF"/>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right="0" w:rightChars="0" w:firstLine="482" w:firstLineChars="200"/>
        <w:jc w:val="both"/>
        <w:textAlignment w:val="auto"/>
        <w:rPr>
          <w:rFonts w:hint="eastAsia" w:asciiTheme="minorEastAsia" w:hAnsiTheme="minorEastAsia" w:cstheme="minorEastAsia"/>
          <w:b/>
          <w:color w:val="000000" w:themeColor="text1"/>
          <w:sz w:val="24"/>
          <w:szCs w:val="24"/>
          <w:lang w:eastAsia="zh-CN"/>
          <w14:textFill>
            <w14:solidFill>
              <w14:schemeClr w14:val="tx1"/>
            </w14:solidFill>
          </w14:textFill>
        </w:rPr>
      </w:pPr>
      <w:r>
        <w:rPr>
          <w:rFonts w:hint="eastAsia" w:asciiTheme="minorEastAsia" w:hAnsiTheme="minorEastAsia" w:cstheme="minorEastAsia"/>
          <w:b/>
          <w:color w:val="000000" w:themeColor="text1"/>
          <w:sz w:val="24"/>
          <w:szCs w:val="24"/>
          <w:lang w:eastAsia="zh-CN"/>
          <w14:textFill>
            <w14:solidFill>
              <w14:schemeClr w14:val="tx1"/>
            </w14:solidFill>
          </w14:textFill>
        </w:rPr>
        <w:t>五、工程建设对环境的影响</w:t>
      </w:r>
    </w:p>
    <w:p>
      <w:pPr>
        <w:pStyle w:val="4"/>
        <w:keepNext w:val="0"/>
        <w:keepLines w:val="0"/>
        <w:pageBreakBefore w:val="0"/>
        <w:widowControl w:val="0"/>
        <w:kinsoku/>
        <w:wordWrap/>
        <w:overflowPunct/>
        <w:topLinePunct w:val="0"/>
        <w:autoSpaceDE/>
        <w:autoSpaceDN/>
        <w:bidi w:val="0"/>
        <w:adjustRightInd w:val="0"/>
        <w:snapToGrid w:val="0"/>
        <w:spacing w:before="0" w:line="360" w:lineRule="auto"/>
        <w:ind w:right="0"/>
        <w:textAlignment w:val="auto"/>
        <w:rPr>
          <w:rFonts w:hint="eastAsia" w:asciiTheme="minorEastAsia" w:hAnsiTheme="minorEastAsia" w:cstheme="minorEastAsia"/>
          <w:b/>
          <w:color w:val="000000" w:themeColor="text1"/>
          <w:sz w:val="24"/>
          <w:szCs w:val="24"/>
          <w:lang w:eastAsia="zh-CN"/>
          <w14:textFill>
            <w14:solidFill>
              <w14:schemeClr w14:val="tx1"/>
            </w14:solidFill>
          </w14:textFill>
        </w:rPr>
      </w:pPr>
      <w:r>
        <w:rPr>
          <w:rStyle w:val="11"/>
          <w:rFonts w:hint="eastAsia" w:hAnsi="宋体" w:eastAsia="宋体" w:cs="宋体"/>
          <w:b w:val="0"/>
          <w:bCs/>
          <w:color w:val="000000" w:themeColor="text1"/>
          <w:sz w:val="24"/>
          <w:szCs w:val="24"/>
          <w:shd w:val="clear" w:color="auto" w:fill="FFFFFF"/>
          <w:lang w:val="en-US" w:eastAsia="zh-CN"/>
          <w14:textFill>
            <w14:solidFill>
              <w14:schemeClr w14:val="tx1"/>
            </w14:solidFill>
          </w14:textFill>
        </w:rPr>
        <w:t>项目废水不外排；废气排放达标；厂界噪声排放达标；固体废物全部得到合理处置。</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right="0" w:rightChars="0" w:firstLine="482" w:firstLineChars="200"/>
        <w:jc w:val="both"/>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Theme="minorEastAsia" w:hAnsiTheme="minorEastAsia" w:cstheme="minorEastAsia"/>
          <w:b/>
          <w:color w:val="000000" w:themeColor="text1"/>
          <w:sz w:val="24"/>
          <w:szCs w:val="24"/>
          <w:lang w:eastAsia="zh-CN"/>
          <w14:textFill>
            <w14:solidFill>
              <w14:schemeClr w14:val="tx1"/>
            </w14:solidFill>
          </w14:textFill>
        </w:rPr>
        <w:t>六、验收结论</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jc w:val="both"/>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lang w:eastAsia="zh-CN"/>
          <w14:textFill>
            <w14:solidFill>
              <w14:schemeClr w14:val="tx1"/>
            </w14:solidFill>
          </w14:textFill>
        </w:rPr>
        <w:t>根据现场检查并核实相关文件，该项目基本符合环评及批复要求，污染治理设施能够正常稳定运行，外排污染物经监测可达标排放。验收组认为项目可以通过竣工环境保护验收。</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right="0" w:rightChars="0" w:firstLine="482" w:firstLineChars="200"/>
        <w:jc w:val="both"/>
        <w:textAlignment w:val="auto"/>
        <w:rPr>
          <w:rFonts w:hint="eastAsia" w:asciiTheme="minorEastAsia" w:hAnsiTheme="minorEastAsia" w:cstheme="minorEastAsia"/>
          <w:b/>
          <w:color w:val="000000" w:themeColor="text1"/>
          <w:sz w:val="24"/>
          <w:szCs w:val="24"/>
          <w:lang w:eastAsia="zh-CN"/>
          <w14:textFill>
            <w14:solidFill>
              <w14:schemeClr w14:val="tx1"/>
            </w14:solidFill>
          </w14:textFill>
        </w:rPr>
      </w:pPr>
      <w:r>
        <w:rPr>
          <w:rFonts w:hint="eastAsia" w:asciiTheme="minorEastAsia" w:hAnsiTheme="minorEastAsia" w:cstheme="minorEastAsia"/>
          <w:b/>
          <w:color w:val="000000" w:themeColor="text1"/>
          <w:sz w:val="24"/>
          <w:szCs w:val="24"/>
          <w:lang w:eastAsia="zh-CN"/>
          <w14:textFill>
            <w14:solidFill>
              <w14:schemeClr w14:val="tx1"/>
            </w14:solidFill>
          </w14:textFill>
        </w:rPr>
        <w:t>七、后续要求</w:t>
      </w:r>
    </w:p>
    <w:p>
      <w:pPr>
        <w:pStyle w:val="2"/>
        <w:keepNext w:val="0"/>
        <w:keepLines w:val="0"/>
        <w:pageBreakBefore w:val="0"/>
        <w:widowControl w:val="0"/>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snapToGrid w:val="0"/>
          <w:color w:val="000000"/>
          <w:sz w:val="24"/>
          <w:szCs w:val="24"/>
          <w:lang w:val="zh-CN"/>
        </w:rPr>
      </w:pPr>
      <w:r>
        <w:rPr>
          <w:rFonts w:hint="eastAsia" w:ascii="宋体" w:hAnsi="宋体" w:eastAsia="宋体" w:cs="宋体"/>
          <w:snapToGrid w:val="0"/>
          <w:color w:val="000000"/>
          <w:sz w:val="24"/>
          <w:szCs w:val="24"/>
          <w:lang w:val="zh-CN"/>
        </w:rPr>
        <w:t>按要求加强固废（含危废）管理。</w:t>
      </w:r>
    </w:p>
    <w:p>
      <w:pPr>
        <w:pStyle w:val="2"/>
        <w:keepNext w:val="0"/>
        <w:keepLines w:val="0"/>
        <w:pageBreakBefore w:val="0"/>
        <w:widowControl w:val="0"/>
        <w:kinsoku/>
        <w:wordWrap/>
        <w:overflowPunct/>
        <w:topLinePunct w:val="0"/>
        <w:autoSpaceDE/>
        <w:autoSpaceDN/>
        <w:bidi w:val="0"/>
        <w:spacing w:line="360" w:lineRule="auto"/>
        <w:ind w:left="0" w:leftChars="0" w:firstLine="480" w:firstLineChars="200"/>
        <w:jc w:val="right"/>
        <w:textAlignment w:val="auto"/>
        <w:rPr>
          <w:rFonts w:hint="eastAsia" w:ascii="宋体" w:hAnsi="宋体" w:eastAsia="宋体" w:cs="宋体"/>
          <w:color w:val="000000" w:themeColor="text1"/>
          <w:sz w:val="24"/>
          <w:szCs w:val="24"/>
          <w:lang w:val="en-US" w:eastAsia="zh-CN"/>
          <w14:textFill>
            <w14:solidFill>
              <w14:schemeClr w14:val="tx1"/>
            </w14:solidFill>
          </w14:textFill>
        </w:rPr>
        <w:sectPr>
          <w:headerReference r:id="rId3" w:type="default"/>
          <w:footerReference r:id="rId4" w:type="default"/>
          <w:pgSz w:w="11906" w:h="16838"/>
          <w:pgMar w:top="1440" w:right="1803" w:bottom="2268" w:left="1803" w:header="851" w:footer="992" w:gutter="0"/>
          <w:cols w:space="0" w:num="1"/>
          <w:rtlGutter w:val="0"/>
          <w:docGrid w:type="lines" w:linePitch="319" w:charSpace="0"/>
        </w:sectPr>
      </w:pPr>
    </w:p>
    <w:p>
      <w:pPr>
        <w:pStyle w:val="2"/>
      </w:pPr>
      <w:bookmarkStart w:id="1" w:name="_GoBack"/>
      <w:bookmarkEnd w:id="1"/>
    </w:p>
    <w:p>
      <w:pPr>
        <w:pStyle w:val="2"/>
        <w:ind w:left="0" w:leftChars="0" w:firstLine="0" w:firstLineChars="0"/>
        <w:rPr>
          <w:rFonts w:hint="eastAsia"/>
          <w:lang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sz w:val="24"/>
        <w:szCs w:val="24"/>
      </w:rPr>
    </w:pPr>
    <w:r>
      <w:rPr>
        <w:sz w:val="24"/>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w:pict>
        <v:shape id="PowerPlusWaterMarkObject12096" o:spid="_x0000_s2049" o:spt="136" type="#_x0000_t136" style="position:absolute;left:0pt;height:43.05pt;width:415.3pt;mso-position-horizontal:center;mso-position-horizontal-relative:margin;mso-position-vertical:center;mso-position-vertical-relative:margin;z-index:-251657216;mso-width-relative:page;mso-height-relative:page;" fillcolor="#C0C0C0" filled="t" stroked="f" coordsize="21600,21600" adj="10800">
          <v:path/>
          <v:fill on="t" opacity="32768f" focussize="0,0"/>
          <v:stroke on="f"/>
          <v:imagedata o:title=""/>
          <o:lock v:ext="edit" aspectratio="t"/>
          <v:textpath on="t" fitshape="t" fitpath="t" trim="t" xscale="f" string="泊头市东辛店红日砖瓦厂" style="font-family:仿宋;font-size:36pt;v-same-letter-heights:f;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80F01EF"/>
    <w:multiLevelType w:val="singleLevel"/>
    <w:tmpl w:val="D80F01EF"/>
    <w:lvl w:ilvl="0" w:tentative="0">
      <w:start w:val="1"/>
      <w:numFmt w:val="decimal"/>
      <w:suff w:val="nothing"/>
      <w:lvlText w:val="%1、"/>
      <w:lvlJc w:val="left"/>
    </w:lvl>
  </w:abstractNum>
  <w:abstractNum w:abstractNumId="1">
    <w:nsid w:val="5A19BDA7"/>
    <w:multiLevelType w:val="singleLevel"/>
    <w:tmpl w:val="5A19BDA7"/>
    <w:lvl w:ilvl="0" w:tentative="0">
      <w:start w:val="2"/>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1D7C64"/>
    <w:rsid w:val="07154D81"/>
    <w:rsid w:val="0B3049C9"/>
    <w:rsid w:val="0F690FCD"/>
    <w:rsid w:val="12297470"/>
    <w:rsid w:val="14542B78"/>
    <w:rsid w:val="169B30A8"/>
    <w:rsid w:val="16E76F8D"/>
    <w:rsid w:val="1ABA63BD"/>
    <w:rsid w:val="1D287706"/>
    <w:rsid w:val="1FAB15F0"/>
    <w:rsid w:val="24BC589F"/>
    <w:rsid w:val="29766518"/>
    <w:rsid w:val="29A9170C"/>
    <w:rsid w:val="2C5B0576"/>
    <w:rsid w:val="2D055341"/>
    <w:rsid w:val="2D5F2C74"/>
    <w:rsid w:val="34E954E0"/>
    <w:rsid w:val="3641274B"/>
    <w:rsid w:val="3AD43390"/>
    <w:rsid w:val="41CC5E42"/>
    <w:rsid w:val="4E8068F0"/>
    <w:rsid w:val="514C7AD2"/>
    <w:rsid w:val="53ED3130"/>
    <w:rsid w:val="552D58EC"/>
    <w:rsid w:val="66782A39"/>
    <w:rsid w:val="6F9079C9"/>
    <w:rsid w:val="70D22E42"/>
    <w:rsid w:val="72207175"/>
    <w:rsid w:val="75693CF9"/>
    <w:rsid w:val="76A932BF"/>
    <w:rsid w:val="7FD8012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style>
  <w:style w:type="paragraph" w:styleId="3">
    <w:name w:val="Body Text"/>
    <w:basedOn w:val="1"/>
    <w:next w:val="1"/>
    <w:qFormat/>
    <w:uiPriority w:val="0"/>
    <w:pPr>
      <w:spacing w:after="120" w:line="240" w:lineRule="auto"/>
    </w:pPr>
    <w:rPr>
      <w:sz w:val="21"/>
    </w:rPr>
  </w:style>
  <w:style w:type="paragraph" w:styleId="4">
    <w:name w:val="Body Text Indent 2"/>
    <w:basedOn w:val="1"/>
    <w:qFormat/>
    <w:uiPriority w:val="0"/>
    <w:pPr>
      <w:spacing w:before="20" w:line="560" w:lineRule="exact"/>
      <w:ind w:right="613" w:firstLine="480" w:firstLineChars="200"/>
    </w:pPr>
    <w:rPr>
      <w:rFonts w:ascii="宋体"/>
      <w:sz w:val="24"/>
      <w:szCs w:val="2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0"/>
    <w:pPr>
      <w:spacing w:beforeAutospacing="1" w:afterAutospacing="1"/>
      <w:jc w:val="left"/>
    </w:pPr>
    <w:rPr>
      <w:rFonts w:cs="Times New Roman"/>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0"/>
    <w:rPr>
      <w:b/>
    </w:rPr>
  </w:style>
  <w:style w:type="paragraph" w:customStyle="1" w:styleId="12">
    <w:name w:val="Default"/>
    <w:qFormat/>
    <w:uiPriority w:val="0"/>
    <w:pPr>
      <w:widowControl w:val="0"/>
      <w:autoSpaceDE w:val="0"/>
      <w:autoSpaceDN w:val="0"/>
      <w:adjustRightInd w:val="0"/>
      <w:jc w:val="both"/>
    </w:pPr>
    <w:rPr>
      <w:rFonts w:ascii="宋体" w:hAnsi="Times New Roman" w:cs="宋体" w:eastAsiaTheme="minorEastAsia"/>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hu</dc:creator>
  <cp:lastModifiedBy>河北恒儒环保13315719666</cp:lastModifiedBy>
  <dcterms:modified xsi:type="dcterms:W3CDTF">2021-01-25T01:45:06Z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